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1D" w:rsidRPr="00AB0D1D" w:rsidRDefault="00AB0D1D" w:rsidP="00AB0D1D">
      <w:pPr>
        <w:spacing w:after="0" w:line="360" w:lineRule="auto"/>
        <w:jc w:val="both"/>
        <w:rPr>
          <w:rFonts w:ascii="Book Antiqua" w:hAnsi="Book Antiqua"/>
          <w:b/>
          <w:sz w:val="24"/>
          <w:szCs w:val="24"/>
          <w:lang w:val="sr-Cyrl-BA"/>
        </w:rPr>
      </w:pPr>
      <w:r w:rsidRPr="00AB0D1D">
        <w:rPr>
          <w:rFonts w:ascii="Book Antiqua" w:hAnsi="Book Antiqua"/>
          <w:b/>
          <w:sz w:val="24"/>
          <w:szCs w:val="24"/>
          <w:lang w:val="sr-Cyrl-BA"/>
        </w:rPr>
        <w:t>ДОКТОРСКЕ СТУДИЈЕ</w:t>
      </w:r>
    </w:p>
    <w:p w:rsidR="00AB0D1D" w:rsidRPr="00AB0D1D" w:rsidRDefault="00AB0D1D" w:rsidP="00AB0D1D">
      <w:pPr>
        <w:spacing w:after="0" w:line="360" w:lineRule="auto"/>
        <w:jc w:val="both"/>
        <w:rPr>
          <w:rFonts w:ascii="Book Antiqua" w:hAnsi="Book Antiqua"/>
          <w:sz w:val="24"/>
          <w:szCs w:val="24"/>
          <w:lang w:val="sr-Cyrl-BA"/>
        </w:rPr>
      </w:pP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Докторске студије друштвених наука Факултета политичких наука су конципиране као јединствен факултетски програм са четири области истраживања – социологија, политикологија, социјални рад и социјална политика, студије медија – што се препознаје према распореду предмета и обавеза на првој, другој и трећој години студија, односно при изради дисертације.</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Поред обавезних, тзв. корских предмета, који профилишу идентитет Факултета политичких наука и појединих студијских група, увели смо и већи број изборних предмета који докторандима/кињама омогућују да у складу са предвиђеним бројем ECTS бодова и сами активно дефинишу програм који ће похађати.</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Као императив при конципирању докторских студија узима се јединство теоретске наставе и истраживачког рада, па Факултет политичких наука има посебно повољну околност у постојању факултетског Института за друштвена истраживања, гдје ће докторанди моћи да се укључују у постојеће пројекте или аплицирају са властитим.</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Опредијелили смо се за интегрисани докторски студиј друштвених наука са четири области истраживања – социологија, политикологија, социјални рад и социјална политика, медијске студије:</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numPr>
          <w:ilvl w:val="0"/>
          <w:numId w:val="1"/>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ради повећања научних, наставних и истраживачких капацитета;</w:t>
      </w:r>
    </w:p>
    <w:p w:rsidR="00AB0D1D" w:rsidRPr="00AB0D1D" w:rsidRDefault="00AB0D1D" w:rsidP="00AB0D1D">
      <w:pPr>
        <w:numPr>
          <w:ilvl w:val="0"/>
          <w:numId w:val="1"/>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ради уједначавања критерија, јер се ради о сродним и блиским областима друштвених наука;</w:t>
      </w:r>
    </w:p>
    <w:p w:rsidR="00AB0D1D" w:rsidRPr="00AB0D1D" w:rsidRDefault="00AB0D1D" w:rsidP="00AB0D1D">
      <w:pPr>
        <w:numPr>
          <w:ilvl w:val="0"/>
          <w:numId w:val="1"/>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ради подстицања и промовисања интердисциплинарности, што представља тренд у друштвеним наукама;</w:t>
      </w:r>
    </w:p>
    <w:p w:rsidR="00AB0D1D" w:rsidRPr="00AB0D1D" w:rsidRDefault="00AB0D1D" w:rsidP="00AB0D1D">
      <w:pPr>
        <w:numPr>
          <w:ilvl w:val="0"/>
          <w:numId w:val="1"/>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lastRenderedPageBreak/>
        <w:t>ради теоријских и емпиријских истраживања и знања, која могу имати ширу друштвену и социјалну примјену;</w:t>
      </w:r>
    </w:p>
    <w:p w:rsidR="00AB0D1D" w:rsidRPr="00AB0D1D" w:rsidRDefault="00AB0D1D" w:rsidP="00AB0D1D">
      <w:pPr>
        <w:numPr>
          <w:ilvl w:val="0"/>
          <w:numId w:val="1"/>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 коначно, ради економичности.</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Услови и критеријуми за упис на Докторски студиј друштвених наука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На Докторски студиј друштвених наука Факултета политичких наука Универзитета у Бањој Луци могу се уписати:</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numPr>
          <w:ilvl w:val="0"/>
          <w:numId w:val="2"/>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кандидати/киње са завршеним другим циклусом студија – мастер из области социологије, политикологије, међународних односа, социјалног рада, новинарства и комуникологије (300 ECTS);</w:t>
      </w:r>
    </w:p>
    <w:p w:rsidR="00AB0D1D" w:rsidRPr="00AB0D1D" w:rsidRDefault="00AB0D1D" w:rsidP="00AB0D1D">
      <w:pPr>
        <w:numPr>
          <w:ilvl w:val="0"/>
          <w:numId w:val="2"/>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кандидати/киње са завршеним другим циклусом студија из сродних области друштвених и хуманистичких наука (300 ECTS);</w:t>
      </w:r>
    </w:p>
    <w:p w:rsidR="00AB0D1D" w:rsidRPr="00AB0D1D" w:rsidRDefault="00AB0D1D" w:rsidP="00AB0D1D">
      <w:pPr>
        <w:numPr>
          <w:ilvl w:val="0"/>
          <w:numId w:val="2"/>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кандидати/киње који су завршили постдипломске (предболоњске) студије и стекли академско звање магистра из области социологије, политикологије, међународних односа, социјалног рада, новинарства и комуникологије, као и других сродних области друштвених и хуманистичких наука.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Критеријум за упис на Докторски студиј друштвених наука Факултета политичких наука Универзитета у Бањој Луци:</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numPr>
          <w:ilvl w:val="0"/>
          <w:numId w:val="3"/>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просјечна оцјена на првом и другом циклусу академског студија;</w:t>
      </w:r>
    </w:p>
    <w:p w:rsidR="00AB0D1D" w:rsidRPr="00AB0D1D" w:rsidRDefault="00AB0D1D" w:rsidP="00AB0D1D">
      <w:pPr>
        <w:numPr>
          <w:ilvl w:val="0"/>
          <w:numId w:val="3"/>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дужина студирања на првом и другом циклусу академског студија;</w:t>
      </w:r>
    </w:p>
    <w:p w:rsidR="00AB0D1D" w:rsidRPr="00AB0D1D" w:rsidRDefault="00AB0D1D" w:rsidP="00AB0D1D">
      <w:pPr>
        <w:numPr>
          <w:ilvl w:val="0"/>
          <w:numId w:val="3"/>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остварени научни и истраживачки резултати из истраживачке области на коју се кандидат/киња уписује (објављени научни радови, учешће на научним конференцијама, научно-истраживачки пројекти и сл.);</w:t>
      </w:r>
    </w:p>
    <w:p w:rsidR="00AB0D1D" w:rsidRPr="00AB0D1D" w:rsidRDefault="00AB0D1D" w:rsidP="00AB0D1D">
      <w:pPr>
        <w:numPr>
          <w:ilvl w:val="0"/>
          <w:numId w:val="3"/>
        </w:num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кандидати/киње који немају завршен одговарајући студиј полажу диференцијални испит из истраживачке области на коју се уписују.</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lastRenderedPageBreak/>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Академско звање које се стиче након успјешно завршеног Докторског студија друштвених наука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 </w:t>
      </w:r>
    </w:p>
    <w:p w:rsid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Након успјешно одбрањене докторске дисертације, кандидат/киња завршава докторски студије и стиче 180 (сто осамдесет) ECTS бодова. У зависности од изабране истраживачке области, кандидат/киња стиче сљедеће академско звање:</w:t>
      </w:r>
    </w:p>
    <w:p w:rsidR="00AB0D1D" w:rsidRPr="00AB0D1D" w:rsidRDefault="00AB0D1D" w:rsidP="00AB0D1D">
      <w:pPr>
        <w:spacing w:after="0" w:line="360" w:lineRule="auto"/>
        <w:jc w:val="both"/>
        <w:rPr>
          <w:rFonts w:ascii="Book Antiqua" w:hAnsi="Book Antiqua"/>
          <w:sz w:val="24"/>
          <w:szCs w:val="24"/>
          <w:lang w:val="sr-Cyrl-BA"/>
        </w:rPr>
      </w:pP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 Истраживачка област: Социологија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Доктор социолошких наука – 480 ECTS</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rPr>
          <w:rFonts w:ascii="Book Antiqua" w:hAnsi="Book Antiqua"/>
          <w:sz w:val="24"/>
          <w:szCs w:val="24"/>
          <w:lang w:val="sr-Cyrl-BA"/>
        </w:rPr>
      </w:pPr>
      <w:r w:rsidRPr="00AB0D1D">
        <w:rPr>
          <w:rFonts w:ascii="Book Antiqua" w:hAnsi="Book Antiqua"/>
          <w:sz w:val="24"/>
          <w:szCs w:val="24"/>
          <w:lang w:val="sr-Cyrl-BA"/>
        </w:rPr>
        <w:t>2. Истраживачка област: Политикологија</w:t>
      </w:r>
      <w:r w:rsidRPr="00AB0D1D">
        <w:rPr>
          <w:rFonts w:ascii="Book Antiqua" w:hAnsi="Book Antiqua"/>
          <w:sz w:val="24"/>
          <w:szCs w:val="24"/>
          <w:lang w:val="sr-Cyrl-BA"/>
        </w:rPr>
        <w:br/>
        <w:t>   Доктор политичких наука – 480 ECTS – Политикологија</w:t>
      </w:r>
      <w:r w:rsidRPr="00AB0D1D">
        <w:rPr>
          <w:rFonts w:ascii="Book Antiqua" w:hAnsi="Book Antiqua"/>
          <w:sz w:val="24"/>
          <w:szCs w:val="24"/>
          <w:lang w:val="sr-Cyrl-BA"/>
        </w:rPr>
        <w:br/>
        <w:t>   Доктор политичких наука – 480 ECTS – Међународни односи</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(Истраживачка област: Политикологија има два усмјерења. У зависности од преференција кнадидата/киње и докторске радње додјељује се академско звање доктора политичких наука из области политикологије или међународних односа)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Default="00AB0D1D" w:rsidP="00AB0D1D">
      <w:pPr>
        <w:spacing w:after="0" w:line="360" w:lineRule="auto"/>
        <w:rPr>
          <w:rFonts w:ascii="Book Antiqua" w:hAnsi="Book Antiqua"/>
          <w:sz w:val="24"/>
          <w:szCs w:val="24"/>
          <w:lang w:val="sr-Cyrl-BA"/>
        </w:rPr>
      </w:pPr>
      <w:r w:rsidRPr="00AB0D1D">
        <w:rPr>
          <w:rFonts w:ascii="Book Antiqua" w:hAnsi="Book Antiqua"/>
          <w:sz w:val="24"/>
          <w:szCs w:val="24"/>
          <w:lang w:val="sr-Cyrl-BA"/>
        </w:rPr>
        <w:t>3. Истраживачка област: Социјални рад и социјална политика</w:t>
      </w:r>
      <w:r w:rsidRPr="00AB0D1D">
        <w:rPr>
          <w:rFonts w:ascii="Book Antiqua" w:hAnsi="Book Antiqua"/>
          <w:sz w:val="24"/>
          <w:szCs w:val="24"/>
          <w:lang w:val="sr-Cyrl-BA"/>
        </w:rPr>
        <w:br/>
        <w:t>   Доктор наука социјалног рада и социјалне политике – 480 ECTS</w:t>
      </w:r>
    </w:p>
    <w:p w:rsidR="00AB0D1D" w:rsidRPr="00AB0D1D" w:rsidRDefault="00AB0D1D" w:rsidP="00AB0D1D">
      <w:pPr>
        <w:spacing w:after="0" w:line="360" w:lineRule="auto"/>
        <w:rPr>
          <w:rFonts w:ascii="Book Antiqua" w:hAnsi="Book Antiqua"/>
          <w:sz w:val="24"/>
          <w:szCs w:val="24"/>
          <w:lang w:val="sr-Cyrl-BA"/>
        </w:rPr>
      </w:pPr>
    </w:p>
    <w:p w:rsidR="00AB0D1D" w:rsidRPr="00AB0D1D" w:rsidRDefault="00AB0D1D" w:rsidP="00AB0D1D">
      <w:pPr>
        <w:spacing w:after="0" w:line="360" w:lineRule="auto"/>
        <w:rPr>
          <w:rFonts w:ascii="Book Antiqua" w:hAnsi="Book Antiqua"/>
          <w:sz w:val="24"/>
          <w:szCs w:val="24"/>
          <w:lang w:val="sr-Cyrl-BA"/>
        </w:rPr>
      </w:pPr>
      <w:r w:rsidRPr="00AB0D1D">
        <w:rPr>
          <w:rFonts w:ascii="Book Antiqua" w:hAnsi="Book Antiqua"/>
          <w:sz w:val="24"/>
          <w:szCs w:val="24"/>
          <w:lang w:val="sr-Cyrl-BA"/>
        </w:rPr>
        <w:t>4. Истраживачка област: Студије медија</w:t>
      </w:r>
      <w:r w:rsidRPr="00AB0D1D">
        <w:rPr>
          <w:rFonts w:ascii="Book Antiqua" w:hAnsi="Book Antiqua"/>
          <w:sz w:val="24"/>
          <w:szCs w:val="24"/>
          <w:lang w:val="sr-Cyrl-BA"/>
        </w:rPr>
        <w:br/>
        <w:t>   Доктор наука из области студија медија – 480 ECTS – Комуникологија</w:t>
      </w:r>
      <w:r w:rsidRPr="00AB0D1D">
        <w:rPr>
          <w:rFonts w:ascii="Book Antiqua" w:hAnsi="Book Antiqua"/>
          <w:sz w:val="24"/>
          <w:szCs w:val="24"/>
          <w:lang w:val="sr-Cyrl-BA"/>
        </w:rPr>
        <w:br/>
        <w:t>   Доктор наука из области студија медија – 480 ECTS – Новинарство</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(Истраживачка област: Студије медија има два усмјерења. У зависности од преференција кнадидата/киње и докторске радње додјељује се академско звање доктора наука из области комуникологије или новинарства)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lastRenderedPageBreak/>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Структура и организација Докторског студија друштвених наука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Докторски студиј траје 3 (три) академске године, односно 6 (шест) семестара. План и програм докторског студија се реализује кроз: наставу, семинаре, радионице, дискусионе групе, консултације, самостални студијски научно-истраживачки рад, израду и одобрану докторске дисертације. Кандидати/киње су дужни завршити докторски студиј у року од 4 (четири) године од дана уписа на студиј. Трајање студија се може, уз писмено образложење разлога о којем одлучује Вијеће докторског студија, продужити за још 2 (двије) године. Након истека предвиђеног рока (укупно 6 /шест/ година), кандидати губе право за наставак школовања.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i/>
          <w:iCs/>
          <w:sz w:val="24"/>
          <w:szCs w:val="24"/>
          <w:lang w:val="sr-Cyrl-BA"/>
        </w:rPr>
        <w:t>Обавезне и изборне активности и њихово бодовање</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Теоријска настава на докторском студију не прелази 40 (четрдесет) одсто укупног оптерећења предвиђеног програмима студија. Осталих 60 (шездесет) одсто оптерећења, подразумијева активно бављење научно-истраживачким радом, кроз обавезне и изборне активности. Оптерећеност у обавезним и изборним активностима изражава се у складу са европским системом преноса бодова (European Credit Transfer and Accumulation System – ECTS). Обавезним активностима настоје се постићи и развити склоности према научно-истраживачком раду, развијање потребних методолошких знања и вјештина, као и јачање критичког мишљења.</w:t>
      </w: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Pr="00AB0D1D" w:rsidRDefault="00AB0D1D" w:rsidP="00AB0D1D">
      <w:pPr>
        <w:spacing w:after="0" w:line="360" w:lineRule="auto"/>
        <w:jc w:val="both"/>
        <w:rPr>
          <w:rFonts w:ascii="Book Antiqua" w:hAnsi="Book Antiqua"/>
          <w:sz w:val="24"/>
          <w:szCs w:val="24"/>
          <w:lang w:val="sr-Cyrl-BA"/>
        </w:rPr>
      </w:pP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tbl>
      <w:tblPr>
        <w:tblW w:w="93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5"/>
        <w:gridCol w:w="8118"/>
        <w:gridCol w:w="777"/>
      </w:tblGrid>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lastRenderedPageBreak/>
              <w:t>Рб.</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Обавезне активности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ECTS</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Испити из обавезних предмета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44</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Испити из изборних предмета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32</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Објављивање два ауторска рада из области истраживања у научном часопису са рецензијом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12</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Истраживачки рад на пријави докторске тезе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8</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Пријава докторске тезе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14</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Израда и одбрана докторске тезе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60</w:t>
            </w:r>
          </w:p>
        </w:tc>
      </w:tr>
      <w:tr w:rsidR="00AB0D1D" w:rsidRPr="00AB0D1D" w:rsidTr="00AB0D1D">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Укупно бодова: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170</w:t>
            </w:r>
          </w:p>
        </w:tc>
      </w:tr>
    </w:tbl>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У испуњавању изборних активности, кандидати/киње су дужни, у току трајања докторског студија, прикупити најмања 10 (десет) ECTS бодова. Кандидати сами бирају начин на који ће стећи потребне бодове. Упис потребних бодова се остварује током VI (шестог) семестра, као услов за одбрану докторске тезе. Изабране активности оцјењује комисија коју чине три члана: ментор и два члана из истраживачке области, које је изабрало Вијеће докторског студија.</w:t>
      </w: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Pr="00AB0D1D" w:rsidRDefault="00AB0D1D" w:rsidP="00AB0D1D">
      <w:pPr>
        <w:spacing w:after="0" w:line="360" w:lineRule="auto"/>
        <w:jc w:val="both"/>
        <w:rPr>
          <w:rFonts w:ascii="Book Antiqua" w:hAnsi="Book Antiqua"/>
          <w:sz w:val="24"/>
          <w:szCs w:val="24"/>
          <w:lang w:val="sr-Cyrl-BA"/>
        </w:rPr>
      </w:pP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tbl>
      <w:tblPr>
        <w:tblW w:w="9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
        <w:gridCol w:w="8358"/>
        <w:gridCol w:w="657"/>
      </w:tblGrid>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lastRenderedPageBreak/>
              <w:t>Рб.</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Изборне активности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ECTS</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Учешће на докторској конференцији са излагањем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5</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Учешће на домаћој научној конференцији из области истраживања са излагањем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Учешће на међународној научној конференцији из области истраживања са излагањем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5</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Учешће у раду љетне школе из области истраживања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Учешће у радионици из области истраживања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2</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Проведена електронска дискусија из области истраживања (уз контролу ментора или сументора)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Објављен ауторски или коауторски рад  из области истраживања у научном часопису са рецензијом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6</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Објављено ауторско или коауторско поглавље у књизи из области истраживања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6</w:t>
            </w:r>
          </w:p>
        </w:tc>
      </w:tr>
      <w:tr w:rsidR="00AB0D1D" w:rsidRPr="00AB0D1D" w:rsidTr="00AB0D1D">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Објављена ауторска или коауторска књига из области истраживања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7</w:t>
            </w:r>
          </w:p>
        </w:tc>
      </w:tr>
      <w:tr w:rsidR="00AB0D1D" w:rsidRPr="00AB0D1D" w:rsidTr="00AB0D1D">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Укупно могуће бодова: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40</w:t>
            </w:r>
          </w:p>
        </w:tc>
      </w:tr>
    </w:tbl>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i/>
          <w:iCs/>
          <w:sz w:val="24"/>
          <w:szCs w:val="24"/>
          <w:lang w:val="sr-Cyrl-BA"/>
        </w:rPr>
        <w:t>Прва година (први и други семестар)</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xml:space="preserve">Прва година докторског студија састављена је од теоријске наставе из обавезних и изборних предмета. Методолошка група предмета, која је обавезна за све истраживачке области, биће организована кроз теоријску наставу и методолошке семинаре, кроз које докторанди/киње стичу потребна методолошка знања и вјештине, али и оспособљавају се да самостално креирају теоријска и емпиријска истраживања. Обавезни предмет из истраживачке области (социологија, политикологија, социјални рад и социјална политика, студије медија) покрива основна подручја области истраживања: теорију, историју дисциплине и нове приступе у истраживању. Ради постизања интердисциплинарности докторандима </w:t>
      </w:r>
      <w:r w:rsidRPr="00AB0D1D">
        <w:rPr>
          <w:rFonts w:ascii="Book Antiqua" w:hAnsi="Book Antiqua"/>
          <w:sz w:val="24"/>
          <w:szCs w:val="24"/>
          <w:lang w:val="sr-Cyrl-BA"/>
        </w:rPr>
        <w:lastRenderedPageBreak/>
        <w:t>је омогућено слушање наставе, кроз изборне предмете, из других истраживачких области.</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Након одслушане теоријске наставе и испуњених предиспитних обавеза, докторанди стичу право за полагање завршног испита из обавезних и изборних предмета. Завршни испити из свих предмета докторског студија полажу се пред трочланом комисијом, коју чине: предметни наставник (носилац/и предмета) и два наставника из истраживачке области које именује Вијеће докторског студија.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i/>
          <w:iCs/>
          <w:sz w:val="24"/>
          <w:szCs w:val="24"/>
          <w:lang w:val="sr-Cyrl-BA"/>
        </w:rPr>
        <w:t>Друга година (трећи и четврти семестар)</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Током друге године докторанди бирају ментора/менторку са којим ће радити на истраживању за пријаву докторске тезе. Након успјешно проведеног истраживања за пријаву докторске тезе, које ментор оцјењује у писаном извјештају, докторанди стичу право за упис потребних бодова за ову активност. Ради осигурања квалитета докторског студија, а посебно у оним областима које подразумијевају интердисциплинарно истраживање и прикупљање емпиријске грађе, докторандима се може омогућити двоструко менторство.</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Докторанди су обавезни да прије пријаве докторске тезе имају објављена или прихваћена за објаву два ауторска научна рада из области истраживања у признатим научним часописима или публикацијама са рецензијом. Радови се морају објавити током трајања докторског студија, то јест радови који су објављени прије уписа на докторски студиј неће се узимати у разматрање.</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xml:space="preserve">Након одслушане теоријске наставе, успјешно положених испита, објављена два научна рада, изабраног ментора (и коментора), успјешно проведене истраживачке радње за пријаву докторске тезе – докторанди стичу право за пријаву докторске радње. Пријава доктората мора садржавати: наслов предложене теме, образложење теме и очекиване резултате предложеног научног истраживања, основне и помоћне хипотезе од којих ће се полазити у истраживању, динамику рада, предложену литературу и опште податке о докторанду. Пријављена тема докторске радње </w:t>
      </w:r>
      <w:r w:rsidRPr="00AB0D1D">
        <w:rPr>
          <w:rFonts w:ascii="Book Antiqua" w:hAnsi="Book Antiqua"/>
          <w:sz w:val="24"/>
          <w:szCs w:val="24"/>
          <w:lang w:val="sr-Cyrl-BA"/>
        </w:rPr>
        <w:lastRenderedPageBreak/>
        <w:t>брани се јавно пред трочланом комисијом коју чине: ментор (и коментор) и два наставника из области истраживања, које именује Вијеће докторског студија. Одбрани пријаве докторског рада могу присуствовати и други докторанди, као и сви остали заинтересовани. Ако Комисија процијени да докторанд није задовољио критеријуме за успјешну одбрану пријаве докторске радње, даје му могућност да у року од 30 (тридесет) дана отклони евентуалне недостатке и поново приступи одбрани пријаве докторског рада.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i/>
          <w:iCs/>
          <w:sz w:val="24"/>
          <w:szCs w:val="24"/>
          <w:lang w:val="sr-Cyrl-BA"/>
        </w:rPr>
        <w:t>Трећа година (пети и шести семестар)</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Током треће године, односно петог и шестог семестра, докторског студија, докторанд ради на изради и припрема одбрану докторског рада. Ментор (и коментор) је дужан да активно прати квалитет рада и усмјерава докторанда у изради његовог докторског рада. Начини поступка за оцјену и одбрану докторског рада одређени су Законом о високом образовању и Правилима о студирању на трећем циклусу студија Универзитета у Бањој Луци.</w:t>
      </w:r>
    </w:p>
    <w:p w:rsid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Pr="00AB0D1D" w:rsidRDefault="00AB0D1D" w:rsidP="00AB0D1D">
      <w:pPr>
        <w:spacing w:after="0" w:line="360" w:lineRule="auto"/>
        <w:jc w:val="both"/>
        <w:rPr>
          <w:rFonts w:ascii="Book Antiqua" w:hAnsi="Book Antiqua"/>
          <w:sz w:val="24"/>
          <w:szCs w:val="24"/>
          <w:lang w:val="sr-Cyrl-BA"/>
        </w:rPr>
      </w:pP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lastRenderedPageBreak/>
        <w:t>ИСТРАЖИВАЧКА ОБЛАСТ СТУДИЈЕ МЕДИЈА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Студирање на истраживачкој области студија медија усклађено је са савременим токовима науке из области комуникологије, новинарства и медија.</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Програм за истраживачку област студија медија је интердисциплинаран, а избором поља истраживања, докторанд/киња се опредјељује за комуникологију или новинарство, односно за излазни профил доктора наука из комуникологије или доктора наука из новинарства. Докторанд/киња бира поље истраживања у трећем семестру, на предмету из истраживачког рада на пријави докторске дисертације. У изабраном пољу докторанди објављује своје научне радове, обављају изборну научно-истраживачку активност и пријављују, истражују, пишу и бране доктроску дисертацију.</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Свршени докторанди овог докторског студија допринијеће формирању квалитетног домаћег кадра оспособљеног за научно-истраживачки рад и едукативни рад. Програм докторских студија омогућава стицаљње знања и вјештина неопходних за научно-истраживачки рад из области комуникологије, масовних медија и новинарства.</w:t>
      </w:r>
    </w:p>
    <w:p w:rsid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Default="00AB0D1D" w:rsidP="00AB0D1D">
      <w:pPr>
        <w:spacing w:after="0" w:line="360" w:lineRule="auto"/>
        <w:jc w:val="both"/>
        <w:rPr>
          <w:rFonts w:ascii="Book Antiqua" w:hAnsi="Book Antiqua"/>
          <w:sz w:val="24"/>
          <w:szCs w:val="24"/>
          <w:lang w:val="sr-Cyrl-BA"/>
        </w:rPr>
      </w:pPr>
    </w:p>
    <w:p w:rsidR="00AB0D1D" w:rsidRPr="00AB0D1D" w:rsidRDefault="00AB0D1D" w:rsidP="00AB0D1D">
      <w:pPr>
        <w:spacing w:after="0" w:line="360" w:lineRule="auto"/>
        <w:jc w:val="both"/>
        <w:rPr>
          <w:rFonts w:ascii="Book Antiqua" w:hAnsi="Book Antiqua"/>
          <w:sz w:val="24"/>
          <w:szCs w:val="24"/>
          <w:lang w:val="sr-Cyrl-BA"/>
        </w:rPr>
      </w:pPr>
    </w:p>
    <w:p w:rsidR="00AB0D1D" w:rsidRPr="00AB0D1D" w:rsidRDefault="00AB0D1D" w:rsidP="00AB0D1D">
      <w:pPr>
        <w:spacing w:after="0" w:line="360" w:lineRule="auto"/>
        <w:jc w:val="both"/>
        <w:rPr>
          <w:rFonts w:ascii="Book Antiqua" w:hAnsi="Book Antiqua"/>
          <w:sz w:val="24"/>
          <w:szCs w:val="24"/>
          <w:lang w:val="sr-Cyrl-BA"/>
        </w:rPr>
      </w:pPr>
      <w:bookmarkStart w:id="0" w:name="_GoBack"/>
      <w:r w:rsidRPr="00AB0D1D">
        <w:rPr>
          <w:rFonts w:ascii="Book Antiqua" w:hAnsi="Book Antiqua"/>
          <w:b/>
          <w:bCs/>
          <w:sz w:val="24"/>
          <w:szCs w:val="24"/>
          <w:lang w:val="sr-Cyrl-BA"/>
        </w:rPr>
        <w:lastRenderedPageBreak/>
        <w:t>Наставни план и програм Докторског студија друштвених наука за Истраживачку област: Студије медија</w:t>
      </w:r>
    </w:p>
    <w:bookmarkEnd w:id="0"/>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 </w:t>
      </w:r>
    </w:p>
    <w:tbl>
      <w:tblPr>
        <w:tblW w:w="9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6485"/>
        <w:gridCol w:w="805"/>
        <w:gridCol w:w="883"/>
        <w:gridCol w:w="657"/>
      </w:tblGrid>
      <w:tr w:rsidR="00AB0D1D" w:rsidRPr="00AB0D1D" w:rsidTr="00AB0D1D">
        <w:trPr>
          <w:trHeight w:val="225"/>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I година докторског студија</w:t>
            </w:r>
          </w:p>
        </w:tc>
      </w:tr>
      <w:tr w:rsidR="00AB0D1D" w:rsidRPr="00AB0D1D" w:rsidTr="00AB0D1D">
        <w:trPr>
          <w:trHeight w:val="450"/>
        </w:trPr>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Назив предмета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Статус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Н/СИР.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ECTS</w:t>
            </w:r>
          </w:p>
        </w:tc>
      </w:tr>
      <w:tr w:rsidR="00AB0D1D" w:rsidRPr="00AB0D1D" w:rsidTr="00AB0D1D">
        <w:trPr>
          <w:trHeight w:val="236"/>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Методологија друштвених истраживања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6 / 4</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15</w:t>
            </w:r>
          </w:p>
        </w:tc>
      </w:tr>
      <w:tr w:rsidR="00AB0D1D" w:rsidRPr="00AB0D1D" w:rsidTr="00AB0D1D">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Теоријски приступи у студијама медија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6 / 4</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15</w:t>
            </w:r>
          </w:p>
        </w:tc>
      </w:tr>
      <w:tr w:rsidR="00AB0D1D" w:rsidRPr="00AB0D1D" w:rsidTr="00AB0D1D">
        <w:trPr>
          <w:trHeight w:val="225"/>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Методологија научно-истраживачког рада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3 / 5</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14</w:t>
            </w:r>
          </w:p>
        </w:tc>
      </w:tr>
      <w:tr w:rsidR="00AB0D1D" w:rsidRPr="00AB0D1D" w:rsidTr="00AB0D1D">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Информационо друштво и нови медији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8</w:t>
            </w:r>
          </w:p>
        </w:tc>
      </w:tr>
      <w:tr w:rsidR="00AB0D1D" w:rsidRPr="00AB0D1D" w:rsidTr="00AB0D1D">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Савремено новинарство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8</w:t>
            </w:r>
          </w:p>
        </w:tc>
      </w:tr>
      <w:tr w:rsidR="00AB0D1D" w:rsidRPr="00AB0D1D" w:rsidTr="00AB0D1D">
        <w:trPr>
          <w:trHeight w:val="4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Јавни сервиси и комерцијални медији</w:t>
            </w:r>
            <w:r w:rsidRPr="00AB0D1D">
              <w:rPr>
                <w:rFonts w:ascii="Book Antiqua" w:hAnsi="Book Antiqua"/>
                <w:sz w:val="24"/>
                <w:szCs w:val="24"/>
                <w:lang w:val="sr-Cyrl-BA"/>
              </w:rPr>
              <w:br/>
              <w:t>(Од понуђена три предмета из истраживачке области  докторанд/киња бира један предмет)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8</w:t>
            </w:r>
          </w:p>
        </w:tc>
      </w:tr>
      <w:tr w:rsidR="00AB0D1D" w:rsidRPr="00AB0D1D" w:rsidTr="00AB0D1D">
        <w:trPr>
          <w:trHeight w:val="4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Изборни предмет из других области истраживања</w:t>
            </w:r>
            <w:r w:rsidRPr="00AB0D1D">
              <w:rPr>
                <w:rFonts w:ascii="Book Antiqua" w:hAnsi="Book Antiqua"/>
                <w:sz w:val="24"/>
                <w:szCs w:val="24"/>
                <w:lang w:val="sr-Cyrl-BA"/>
              </w:rPr>
              <w:br/>
              <w:t>(Докторанд/киња бира један предмет)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8</w:t>
            </w:r>
          </w:p>
        </w:tc>
      </w:tr>
      <w:tr w:rsidR="00AB0D1D" w:rsidRPr="00AB0D1D" w:rsidTr="00AB0D1D">
        <w:trPr>
          <w:trHeight w:val="225"/>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II година докторског студија</w:t>
            </w:r>
          </w:p>
        </w:tc>
      </w:tr>
      <w:tr w:rsidR="00AB0D1D" w:rsidRPr="00AB0D1D" w:rsidTr="00AB0D1D">
        <w:trPr>
          <w:trHeight w:val="225"/>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Медијска писменост и медијска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8</w:t>
            </w:r>
          </w:p>
        </w:tc>
      </w:tr>
      <w:tr w:rsidR="00AB0D1D" w:rsidRPr="00AB0D1D" w:rsidTr="00AB0D1D">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Жанрови и јавни дискурс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8</w:t>
            </w:r>
          </w:p>
        </w:tc>
      </w:tr>
      <w:tr w:rsidR="00AB0D1D" w:rsidRPr="00AB0D1D" w:rsidTr="00AB0D1D">
        <w:trPr>
          <w:trHeight w:val="4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Теорија и модели односа с јавношћу</w:t>
            </w:r>
            <w:r w:rsidRPr="00AB0D1D">
              <w:rPr>
                <w:rFonts w:ascii="Book Antiqua" w:hAnsi="Book Antiqua"/>
                <w:sz w:val="24"/>
                <w:szCs w:val="24"/>
                <w:lang w:val="sr-Cyrl-BA"/>
              </w:rPr>
              <w:br/>
              <w:t>(Од понуђена три предмета из истраживачке области  докторанд/киња бира један предмет)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8</w:t>
            </w:r>
          </w:p>
        </w:tc>
      </w:tr>
      <w:tr w:rsidR="00AB0D1D" w:rsidRPr="00AB0D1D" w:rsidTr="00AB0D1D">
        <w:trPr>
          <w:trHeight w:val="4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Изборни предмет из других области истраживања</w:t>
            </w:r>
            <w:r w:rsidRPr="00AB0D1D">
              <w:rPr>
                <w:rFonts w:ascii="Book Antiqua" w:hAnsi="Book Antiqua"/>
                <w:sz w:val="24"/>
                <w:szCs w:val="24"/>
                <w:lang w:val="sr-Cyrl-BA"/>
              </w:rPr>
              <w:br/>
              <w:t>(Докторанд/киња бира један предмет)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8</w:t>
            </w:r>
          </w:p>
        </w:tc>
      </w:tr>
      <w:tr w:rsidR="00AB0D1D" w:rsidRPr="00AB0D1D" w:rsidTr="00AB0D1D">
        <w:trPr>
          <w:trHeight w:val="4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Објављивање научног рада из области истраживања</w:t>
            </w:r>
            <w:r w:rsidRPr="00AB0D1D">
              <w:rPr>
                <w:rFonts w:ascii="Book Antiqua" w:hAnsi="Book Antiqua"/>
                <w:sz w:val="24"/>
                <w:szCs w:val="24"/>
                <w:lang w:val="sr-Cyrl-BA"/>
              </w:rPr>
              <w:br/>
              <w:t>(Докторанд/киња прије пријаве докторске тезе мора објавити два научна рада у признатим научним публикацијама са рецензијом)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0 / 5</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6</w:t>
            </w:r>
          </w:p>
        </w:tc>
      </w:tr>
      <w:tr w:rsidR="00AB0D1D" w:rsidRPr="00AB0D1D" w:rsidTr="00AB0D1D">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Истраживачки рад на пријави докторске тезе (индивидуални рад са ментором)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0 / 5</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8</w:t>
            </w:r>
          </w:p>
        </w:tc>
      </w:tr>
      <w:tr w:rsidR="00AB0D1D" w:rsidRPr="00AB0D1D" w:rsidTr="00AB0D1D">
        <w:trPr>
          <w:trHeight w:val="45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lastRenderedPageBreak/>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Објављивање научног рада из области истраживања</w:t>
            </w:r>
            <w:r w:rsidRPr="00AB0D1D">
              <w:rPr>
                <w:rFonts w:ascii="Book Antiqua" w:hAnsi="Book Antiqua"/>
                <w:sz w:val="24"/>
                <w:szCs w:val="24"/>
                <w:lang w:val="sr-Cyrl-BA"/>
              </w:rPr>
              <w:br/>
              <w:t>(Докторанд/киња прије пријаве докторске тезе мора објавити два научна рада у признатим научним публикацијама са рецензијом)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0 / 5</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6</w:t>
            </w:r>
          </w:p>
        </w:tc>
      </w:tr>
      <w:tr w:rsidR="00AB0D1D" w:rsidRPr="00AB0D1D" w:rsidTr="00AB0D1D">
        <w:trPr>
          <w:trHeight w:val="4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Изборна научно-истраживачка активност кандидата/киње</w:t>
            </w:r>
            <w:r w:rsidRPr="00AB0D1D">
              <w:rPr>
                <w:rFonts w:ascii="Book Antiqua" w:hAnsi="Book Antiqua"/>
                <w:sz w:val="24"/>
                <w:szCs w:val="24"/>
                <w:lang w:val="sr-Cyrl-BA"/>
              </w:rPr>
              <w:br/>
              <w:t>(учешће на семинарима, научним конференцијама, научно-истраживачким пројектима и слично)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0 / 5</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10</w:t>
            </w:r>
          </w:p>
        </w:tc>
      </w:tr>
      <w:tr w:rsidR="00AB0D1D" w:rsidRPr="00AB0D1D" w:rsidTr="00AB0D1D">
        <w:trPr>
          <w:trHeight w:val="4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Пријава докторске тезе (Докторанд/киња може пријавити докторску тезу након што је одслушао/ла и положио/ла испите из теоријске наставе и објавио/ла два нучна рада)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0 / 10</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14</w:t>
            </w:r>
          </w:p>
        </w:tc>
      </w:tr>
      <w:tr w:rsidR="00AB0D1D" w:rsidRPr="00AB0D1D" w:rsidTr="00AB0D1D">
        <w:trPr>
          <w:trHeight w:val="225"/>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III година докторског студија</w:t>
            </w:r>
          </w:p>
        </w:tc>
      </w:tr>
      <w:tr w:rsidR="00AB0D1D" w:rsidRPr="00AB0D1D" w:rsidTr="00AB0D1D">
        <w:trPr>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Истраживачки рад на изради докторске тезе </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0 / 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60</w:t>
            </w:r>
          </w:p>
        </w:tc>
      </w:tr>
      <w:tr w:rsidR="00AB0D1D" w:rsidRPr="00AB0D1D" w:rsidTr="00AB0D1D">
        <w:trPr>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Завршетак и одбрана докторске тезе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sz w:val="24"/>
                <w:szCs w:val="24"/>
                <w:lang w:val="sr-Cyrl-BA"/>
              </w:rPr>
              <w:t>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p>
        </w:tc>
      </w:tr>
      <w:tr w:rsidR="00AB0D1D" w:rsidRPr="00AB0D1D" w:rsidTr="00AB0D1D">
        <w:trPr>
          <w:trHeight w:val="22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УКУПНО: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0D1D" w:rsidRPr="00AB0D1D" w:rsidRDefault="00AB0D1D" w:rsidP="00AB0D1D">
            <w:pPr>
              <w:spacing w:after="0" w:line="360" w:lineRule="auto"/>
              <w:jc w:val="both"/>
              <w:rPr>
                <w:rFonts w:ascii="Book Antiqua" w:hAnsi="Book Antiqua"/>
                <w:sz w:val="24"/>
                <w:szCs w:val="24"/>
                <w:lang w:val="sr-Cyrl-BA"/>
              </w:rPr>
            </w:pPr>
            <w:r w:rsidRPr="00AB0D1D">
              <w:rPr>
                <w:rFonts w:ascii="Book Antiqua" w:hAnsi="Book Antiqua"/>
                <w:b/>
                <w:bCs/>
                <w:sz w:val="24"/>
                <w:szCs w:val="24"/>
                <w:lang w:val="sr-Cyrl-BA"/>
              </w:rPr>
              <w:t>180</w:t>
            </w:r>
          </w:p>
        </w:tc>
      </w:tr>
    </w:tbl>
    <w:p w:rsidR="008004CF" w:rsidRPr="00AB0D1D" w:rsidRDefault="008004CF" w:rsidP="00AB0D1D">
      <w:pPr>
        <w:spacing w:after="0" w:line="360" w:lineRule="auto"/>
        <w:jc w:val="both"/>
        <w:rPr>
          <w:rFonts w:ascii="Book Antiqua" w:hAnsi="Book Antiqua"/>
          <w:sz w:val="24"/>
          <w:szCs w:val="24"/>
          <w:lang w:val="sr-Cyrl-BA"/>
        </w:rPr>
      </w:pPr>
    </w:p>
    <w:sectPr w:rsidR="008004CF" w:rsidRPr="00AB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28C"/>
    <w:multiLevelType w:val="multilevel"/>
    <w:tmpl w:val="D88C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E5EA7"/>
    <w:multiLevelType w:val="multilevel"/>
    <w:tmpl w:val="FE98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37FF4"/>
    <w:multiLevelType w:val="multilevel"/>
    <w:tmpl w:val="193E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F0A43"/>
    <w:multiLevelType w:val="multilevel"/>
    <w:tmpl w:val="95F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1D"/>
    <w:rsid w:val="008004CF"/>
    <w:rsid w:val="00AB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C41D"/>
  <w15:chartTrackingRefBased/>
  <w15:docId w15:val="{ADD92581-07AD-4716-B4A4-76611E00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1717">
      <w:bodyDiv w:val="1"/>
      <w:marLeft w:val="0"/>
      <w:marRight w:val="0"/>
      <w:marTop w:val="0"/>
      <w:marBottom w:val="0"/>
      <w:divBdr>
        <w:top w:val="none" w:sz="0" w:space="0" w:color="auto"/>
        <w:left w:val="none" w:sz="0" w:space="0" w:color="auto"/>
        <w:bottom w:val="none" w:sz="0" w:space="0" w:color="auto"/>
        <w:right w:val="none" w:sz="0" w:space="0" w:color="auto"/>
      </w:divBdr>
      <w:divsChild>
        <w:div w:id="2106995162">
          <w:marLeft w:val="0"/>
          <w:marRight w:val="0"/>
          <w:marTop w:val="0"/>
          <w:marBottom w:val="0"/>
          <w:divBdr>
            <w:top w:val="none" w:sz="0" w:space="0" w:color="auto"/>
            <w:left w:val="none" w:sz="0" w:space="0" w:color="auto"/>
            <w:bottom w:val="none" w:sz="0" w:space="0" w:color="auto"/>
            <w:right w:val="none" w:sz="0" w:space="0" w:color="auto"/>
          </w:divBdr>
          <w:divsChild>
            <w:div w:id="2010013592">
              <w:marLeft w:val="0"/>
              <w:marRight w:val="0"/>
              <w:marTop w:val="0"/>
              <w:marBottom w:val="0"/>
              <w:divBdr>
                <w:top w:val="none" w:sz="0" w:space="0" w:color="auto"/>
                <w:left w:val="none" w:sz="0" w:space="0" w:color="auto"/>
                <w:bottom w:val="none" w:sz="0" w:space="0" w:color="auto"/>
                <w:right w:val="none" w:sz="0" w:space="0" w:color="auto"/>
              </w:divBdr>
              <w:divsChild>
                <w:div w:id="872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3152">
          <w:marLeft w:val="0"/>
          <w:marRight w:val="0"/>
          <w:marTop w:val="0"/>
          <w:marBottom w:val="0"/>
          <w:divBdr>
            <w:top w:val="none" w:sz="0" w:space="0" w:color="auto"/>
            <w:left w:val="none" w:sz="0" w:space="0" w:color="auto"/>
            <w:bottom w:val="none" w:sz="0" w:space="0" w:color="auto"/>
            <w:right w:val="none" w:sz="0" w:space="0" w:color="auto"/>
          </w:divBdr>
          <w:divsChild>
            <w:div w:id="434639075">
              <w:marLeft w:val="150"/>
              <w:marRight w:val="0"/>
              <w:marTop w:val="0"/>
              <w:marBottom w:val="0"/>
              <w:divBdr>
                <w:top w:val="none" w:sz="0" w:space="0" w:color="auto"/>
                <w:left w:val="none" w:sz="0" w:space="0" w:color="auto"/>
                <w:bottom w:val="none" w:sz="0" w:space="0" w:color="auto"/>
                <w:right w:val="none" w:sz="0" w:space="0" w:color="auto"/>
              </w:divBdr>
              <w:divsChild>
                <w:div w:id="1624189278">
                  <w:marLeft w:val="0"/>
                  <w:marRight w:val="0"/>
                  <w:marTop w:val="0"/>
                  <w:marBottom w:val="0"/>
                  <w:divBdr>
                    <w:top w:val="none" w:sz="0" w:space="0" w:color="auto"/>
                    <w:left w:val="none" w:sz="0" w:space="0" w:color="auto"/>
                    <w:bottom w:val="none" w:sz="0" w:space="0" w:color="auto"/>
                    <w:right w:val="none" w:sz="0" w:space="0" w:color="auto"/>
                  </w:divBdr>
                  <w:divsChild>
                    <w:div w:id="18575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7735">
      <w:bodyDiv w:val="1"/>
      <w:marLeft w:val="0"/>
      <w:marRight w:val="0"/>
      <w:marTop w:val="0"/>
      <w:marBottom w:val="0"/>
      <w:divBdr>
        <w:top w:val="none" w:sz="0" w:space="0" w:color="auto"/>
        <w:left w:val="none" w:sz="0" w:space="0" w:color="auto"/>
        <w:bottom w:val="none" w:sz="0" w:space="0" w:color="auto"/>
        <w:right w:val="none" w:sz="0" w:space="0" w:color="auto"/>
      </w:divBdr>
      <w:divsChild>
        <w:div w:id="1816801685">
          <w:marLeft w:val="0"/>
          <w:marRight w:val="0"/>
          <w:marTop w:val="0"/>
          <w:marBottom w:val="0"/>
          <w:divBdr>
            <w:top w:val="none" w:sz="0" w:space="0" w:color="auto"/>
            <w:left w:val="none" w:sz="0" w:space="0" w:color="auto"/>
            <w:bottom w:val="none" w:sz="0" w:space="0" w:color="auto"/>
            <w:right w:val="none" w:sz="0" w:space="0" w:color="auto"/>
          </w:divBdr>
        </w:div>
        <w:div w:id="4845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1</cp:revision>
  <dcterms:created xsi:type="dcterms:W3CDTF">2018-07-11T09:17:00Z</dcterms:created>
  <dcterms:modified xsi:type="dcterms:W3CDTF">2018-07-11T09:24:00Z</dcterms:modified>
</cp:coreProperties>
</file>